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F3" w:rsidRPr="006F5541" w:rsidRDefault="00F331F3" w:rsidP="00F331F3">
      <w:pPr>
        <w:jc w:val="center"/>
        <w:outlineLvl w:val="0"/>
        <w:rPr>
          <w:rFonts w:ascii="Tahoma" w:hAnsi="Tahoma" w:cs="Tahoma"/>
        </w:rPr>
      </w:pPr>
      <w:r w:rsidRPr="006F5541">
        <w:rPr>
          <w:rFonts w:ascii="Tahoma" w:hAnsi="Tahoma" w:cs="Tahoma"/>
          <w:b/>
        </w:rPr>
        <w:t>Tisková zpráva SČS</w:t>
      </w:r>
    </w:p>
    <w:p w:rsidR="00F331F3" w:rsidRDefault="00F331F3" w:rsidP="00F331F3">
      <w:pPr>
        <w:jc w:val="center"/>
        <w:outlineLvl w:val="0"/>
        <w:rPr>
          <w:b/>
        </w:rPr>
      </w:pPr>
    </w:p>
    <w:p w:rsidR="00F331F3" w:rsidRDefault="00F331F3" w:rsidP="00F331F3">
      <w:pPr>
        <w:jc w:val="center"/>
        <w:outlineLvl w:val="0"/>
        <w:rPr>
          <w:b/>
        </w:rPr>
      </w:pPr>
      <w:r>
        <w:rPr>
          <w:b/>
        </w:rPr>
        <w:t xml:space="preserve">EVROPSKÁ REGULACE KARTOVÝCH POPLATKŮ </w:t>
      </w:r>
    </w:p>
    <w:p w:rsidR="00F331F3" w:rsidRPr="006F5541" w:rsidRDefault="00F331F3" w:rsidP="00F331F3">
      <w:pPr>
        <w:jc w:val="center"/>
        <w:outlineLvl w:val="0"/>
        <w:rPr>
          <w:b/>
        </w:rPr>
      </w:pPr>
      <w:r>
        <w:rPr>
          <w:b/>
        </w:rPr>
        <w:t>- SPOTŘEBITELÉ POCHYBOVALI A POCHYBUJÍ?</w:t>
      </w:r>
    </w:p>
    <w:p w:rsidR="00F331F3" w:rsidRDefault="00F331F3" w:rsidP="00F331F3">
      <w:pPr>
        <w:jc w:val="both"/>
        <w:rPr>
          <w:sz w:val="22"/>
          <w:szCs w:val="22"/>
        </w:rPr>
      </w:pPr>
    </w:p>
    <w:p w:rsidR="00F331F3" w:rsidRDefault="00F331F3" w:rsidP="00F331F3">
      <w:pPr>
        <w:spacing w:after="120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2013-07-24</w:t>
      </w:r>
    </w:p>
    <w:p w:rsidR="00F331F3" w:rsidRDefault="004617D1" w:rsidP="00F331F3">
      <w:pPr>
        <w:spacing w:after="120"/>
        <w:jc w:val="both"/>
        <w:rPr>
          <w:sz w:val="22"/>
        </w:rPr>
      </w:pPr>
      <w:r>
        <w:rPr>
          <w:sz w:val="22"/>
        </w:rPr>
        <w:t xml:space="preserve">Často se setkáváme se snahou řešit </w:t>
      </w:r>
      <w:r w:rsidR="00D413AD">
        <w:rPr>
          <w:sz w:val="22"/>
        </w:rPr>
        <w:t xml:space="preserve">regulací </w:t>
      </w:r>
      <w:r>
        <w:rPr>
          <w:sz w:val="22"/>
        </w:rPr>
        <w:t xml:space="preserve">problémy na trhu finančních služeb. </w:t>
      </w:r>
      <w:r w:rsidR="00F331F3" w:rsidRPr="00E60565">
        <w:rPr>
          <w:sz w:val="22"/>
        </w:rPr>
        <w:t xml:space="preserve">Spotřebitelé </w:t>
      </w:r>
      <w:r w:rsidR="00F331F3">
        <w:rPr>
          <w:sz w:val="22"/>
        </w:rPr>
        <w:t xml:space="preserve">se </w:t>
      </w:r>
      <w:r w:rsidR="00F331F3" w:rsidRPr="00E60565">
        <w:rPr>
          <w:sz w:val="22"/>
        </w:rPr>
        <w:t>domnívají, že tužší regulace bankovního systému jim bude prospěšná</w:t>
      </w:r>
      <w:r w:rsidR="00F331F3">
        <w:rPr>
          <w:sz w:val="22"/>
        </w:rPr>
        <w:t xml:space="preserve"> a všem nedostatkům, se kterými se potýkají, jednoduše zabrání.</w:t>
      </w:r>
      <w:r w:rsidR="00F331F3" w:rsidRPr="00E60565">
        <w:rPr>
          <w:sz w:val="22"/>
        </w:rPr>
        <w:t xml:space="preserve"> </w:t>
      </w:r>
      <w:r>
        <w:rPr>
          <w:sz w:val="22"/>
        </w:rPr>
        <w:t>To ale nemusí být vždy pravda</w:t>
      </w:r>
      <w:r w:rsidR="00F331F3" w:rsidRPr="00E60565">
        <w:rPr>
          <w:sz w:val="22"/>
        </w:rPr>
        <w:t>.</w:t>
      </w:r>
      <w:r w:rsidR="00F331F3">
        <w:rPr>
          <w:sz w:val="22"/>
        </w:rPr>
        <w:t xml:space="preserve"> </w:t>
      </w:r>
    </w:p>
    <w:p w:rsidR="00F331F3" w:rsidRPr="00E60565" w:rsidRDefault="00F331F3" w:rsidP="00F331F3">
      <w:pPr>
        <w:spacing w:after="120"/>
        <w:jc w:val="both"/>
        <w:rPr>
          <w:sz w:val="22"/>
        </w:rPr>
      </w:pPr>
      <w:r>
        <w:rPr>
          <w:sz w:val="22"/>
        </w:rPr>
        <w:t xml:space="preserve">Na úskalí regulace </w:t>
      </w:r>
      <w:r w:rsidRPr="00B75020">
        <w:rPr>
          <w:b/>
          <w:sz w:val="22"/>
        </w:rPr>
        <w:t>mnohostranných poplatků</w:t>
      </w:r>
      <w:r>
        <w:rPr>
          <w:b/>
          <w:sz w:val="22"/>
        </w:rPr>
        <w:t xml:space="preserve"> za platby kartou </w:t>
      </w:r>
      <w:r>
        <w:rPr>
          <w:sz w:val="22"/>
        </w:rPr>
        <w:t xml:space="preserve">již Sdružení českých spotřebitelů (SČS) upozorňovalo </w:t>
      </w:r>
      <w:r w:rsidR="004617D1">
        <w:rPr>
          <w:sz w:val="22"/>
        </w:rPr>
        <w:t>(</w:t>
      </w:r>
      <w:r>
        <w:rPr>
          <w:sz w:val="22"/>
        </w:rPr>
        <w:t xml:space="preserve">viz </w:t>
      </w:r>
      <w:hyperlink r:id="rId7" w:anchor="detail" w:history="1">
        <w:r w:rsidR="005E6EA9" w:rsidRPr="005E6EA9">
          <w:rPr>
            <w:rStyle w:val="Hypertextovodkaz"/>
            <w:sz w:val="22"/>
          </w:rPr>
          <w:t>tento článek</w:t>
        </w:r>
      </w:hyperlink>
      <w:r w:rsidR="004617D1">
        <w:rPr>
          <w:sz w:val="22"/>
        </w:rPr>
        <w:t>)</w:t>
      </w:r>
      <w:r>
        <w:rPr>
          <w:sz w:val="22"/>
        </w:rPr>
        <w:t>.</w:t>
      </w:r>
    </w:p>
    <w:p w:rsidR="00F331F3" w:rsidRPr="009759C5" w:rsidRDefault="00F331F3" w:rsidP="00F331F3">
      <w:pPr>
        <w:spacing w:after="120"/>
        <w:jc w:val="both"/>
        <w:rPr>
          <w:i/>
          <w:sz w:val="22"/>
        </w:rPr>
      </w:pPr>
      <w:r>
        <w:rPr>
          <w:sz w:val="22"/>
        </w:rPr>
        <w:t xml:space="preserve"> „</w:t>
      </w:r>
      <w:r w:rsidR="004617D1">
        <w:rPr>
          <w:i/>
          <w:sz w:val="22"/>
        </w:rPr>
        <w:t xml:space="preserve">Ještě než dojde k samotné regulaci, měly by </w:t>
      </w:r>
      <w:r w:rsidRPr="00AF2667">
        <w:rPr>
          <w:i/>
          <w:sz w:val="22"/>
        </w:rPr>
        <w:t>být</w:t>
      </w:r>
      <w:r w:rsidR="004617D1">
        <w:rPr>
          <w:i/>
          <w:sz w:val="22"/>
        </w:rPr>
        <w:t xml:space="preserve"> pečlivě</w:t>
      </w:r>
      <w:r w:rsidRPr="00AF2667">
        <w:rPr>
          <w:i/>
          <w:sz w:val="22"/>
        </w:rPr>
        <w:t xml:space="preserve"> posouzeny dopady, které takov</w:t>
      </w:r>
      <w:r w:rsidR="00D413AD">
        <w:rPr>
          <w:i/>
          <w:sz w:val="22"/>
        </w:rPr>
        <w:t>é</w:t>
      </w:r>
      <w:r w:rsidRPr="00AF2667">
        <w:rPr>
          <w:i/>
          <w:sz w:val="22"/>
        </w:rPr>
        <w:t xml:space="preserve"> opatření </w:t>
      </w:r>
      <w:r w:rsidR="00D413AD">
        <w:rPr>
          <w:i/>
          <w:sz w:val="22"/>
        </w:rPr>
        <w:t>může mít na</w:t>
      </w:r>
      <w:r w:rsidRPr="00AF2667">
        <w:rPr>
          <w:i/>
          <w:sz w:val="22"/>
        </w:rPr>
        <w:t xml:space="preserve"> spotřebitel</w:t>
      </w:r>
      <w:r w:rsidR="00D413AD">
        <w:rPr>
          <w:i/>
          <w:sz w:val="22"/>
        </w:rPr>
        <w:t>e</w:t>
      </w:r>
      <w:r w:rsidRPr="00AF2667">
        <w:rPr>
          <w:i/>
          <w:sz w:val="22"/>
        </w:rPr>
        <w:t>. Napříkla</w:t>
      </w:r>
      <w:r w:rsidRPr="00E60565">
        <w:rPr>
          <w:i/>
          <w:sz w:val="22"/>
        </w:rPr>
        <w:t>d s ohledem na po</w:t>
      </w:r>
      <w:r>
        <w:rPr>
          <w:i/>
          <w:sz w:val="22"/>
        </w:rPr>
        <w:t xml:space="preserve">platky hrazené držitelem karty,“ </w:t>
      </w:r>
      <w:r w:rsidR="00E946BC">
        <w:rPr>
          <w:sz w:val="22"/>
        </w:rPr>
        <w:t>sdělil</w:t>
      </w:r>
      <w:r>
        <w:rPr>
          <w:sz w:val="22"/>
        </w:rPr>
        <w:t xml:space="preserve"> tehdy Libor Dupal, předseda SČS</w:t>
      </w:r>
      <w:r w:rsidR="00D413AD">
        <w:rPr>
          <w:sz w:val="22"/>
        </w:rPr>
        <w:t>, a dodal: „</w:t>
      </w:r>
      <w:r w:rsidRPr="00D413AD">
        <w:rPr>
          <w:i/>
          <w:sz w:val="22"/>
        </w:rPr>
        <w:t>Postup Evropské komise považuje SČS</w:t>
      </w:r>
      <w:r w:rsidR="00E946BC" w:rsidRPr="00D413AD">
        <w:rPr>
          <w:i/>
          <w:sz w:val="22"/>
        </w:rPr>
        <w:t xml:space="preserve"> za naprosto nepatřičný</w:t>
      </w:r>
      <w:r w:rsidR="004617D1" w:rsidRPr="00D413AD">
        <w:rPr>
          <w:i/>
          <w:sz w:val="22"/>
        </w:rPr>
        <w:t>,</w:t>
      </w:r>
      <w:r w:rsidR="00E946BC" w:rsidRPr="00D413AD">
        <w:rPr>
          <w:i/>
          <w:sz w:val="22"/>
        </w:rPr>
        <w:t xml:space="preserve"> protože </w:t>
      </w:r>
      <w:r w:rsidR="004164EF" w:rsidRPr="00D413AD">
        <w:rPr>
          <w:i/>
          <w:sz w:val="22"/>
        </w:rPr>
        <w:t xml:space="preserve">nebyly doloženy </w:t>
      </w:r>
      <w:r w:rsidR="00E946BC" w:rsidRPr="00D413AD">
        <w:rPr>
          <w:i/>
          <w:sz w:val="22"/>
        </w:rPr>
        <w:t>studie</w:t>
      </w:r>
      <w:r w:rsidR="004617D1" w:rsidRPr="00D413AD">
        <w:rPr>
          <w:i/>
          <w:sz w:val="22"/>
        </w:rPr>
        <w:t xml:space="preserve"> dopadu regulace. A to i přesto, že to evropské orgány </w:t>
      </w:r>
      <w:r w:rsidR="00E946BC" w:rsidRPr="00D413AD">
        <w:rPr>
          <w:i/>
          <w:sz w:val="22"/>
        </w:rPr>
        <w:t>našemu sdružení písemně slibovaly</w:t>
      </w:r>
      <w:r w:rsidR="00E946BC">
        <w:rPr>
          <w:sz w:val="22"/>
        </w:rPr>
        <w:t>.</w:t>
      </w:r>
      <w:r w:rsidR="00D413AD">
        <w:rPr>
          <w:sz w:val="22"/>
        </w:rPr>
        <w:t xml:space="preserve">“ </w:t>
      </w:r>
      <w:r w:rsidRPr="00E60565">
        <w:rPr>
          <w:sz w:val="22"/>
        </w:rPr>
        <w:t xml:space="preserve">Je obecným pravidlem ekonomik volného trhu, že regulace se </w:t>
      </w:r>
      <w:r>
        <w:rPr>
          <w:sz w:val="22"/>
        </w:rPr>
        <w:t xml:space="preserve">má </w:t>
      </w:r>
      <w:r w:rsidRPr="00E60565">
        <w:rPr>
          <w:sz w:val="22"/>
        </w:rPr>
        <w:t>přijím</w:t>
      </w:r>
      <w:r>
        <w:rPr>
          <w:sz w:val="22"/>
        </w:rPr>
        <w:t>at</w:t>
      </w:r>
      <w:r w:rsidRPr="00E60565">
        <w:rPr>
          <w:sz w:val="22"/>
        </w:rPr>
        <w:t xml:space="preserve"> až jako poslední krok, když samoregulační mechanizmy selžou.</w:t>
      </w:r>
      <w:r>
        <w:rPr>
          <w:sz w:val="22"/>
        </w:rPr>
        <w:t xml:space="preserve"> </w:t>
      </w:r>
      <w:r w:rsidR="004617D1">
        <w:rPr>
          <w:sz w:val="22"/>
        </w:rPr>
        <w:t>V oblasti bezhotovostního styku</w:t>
      </w:r>
      <w:r>
        <w:rPr>
          <w:sz w:val="22"/>
        </w:rPr>
        <w:t xml:space="preserve"> podle názoru SČS nebyly dosud dostatečně prověřeny procesy samoregulace. „</w:t>
      </w:r>
      <w:r>
        <w:rPr>
          <w:i/>
          <w:sz w:val="22"/>
        </w:rPr>
        <w:t>Oceňujeme alespoň, že zamýšleným cílem</w:t>
      </w:r>
      <w:r w:rsidR="004617D1">
        <w:rPr>
          <w:i/>
          <w:sz w:val="22"/>
        </w:rPr>
        <w:t xml:space="preserve"> Evropské komise</w:t>
      </w:r>
      <w:r>
        <w:rPr>
          <w:i/>
          <w:sz w:val="22"/>
        </w:rPr>
        <w:t xml:space="preserve"> je prospěch spotřebitele,</w:t>
      </w:r>
      <w:r>
        <w:rPr>
          <w:sz w:val="22"/>
        </w:rPr>
        <w:t xml:space="preserve">“ dodává Dupal. </w:t>
      </w:r>
      <w:r w:rsidR="00E946BC">
        <w:rPr>
          <w:sz w:val="22"/>
        </w:rPr>
        <w:t xml:space="preserve">Nicméně spotřebitel </w:t>
      </w:r>
      <w:r w:rsidRPr="00E60565">
        <w:rPr>
          <w:sz w:val="22"/>
        </w:rPr>
        <w:t xml:space="preserve">mnohdy </w:t>
      </w:r>
      <w:r>
        <w:rPr>
          <w:sz w:val="22"/>
        </w:rPr>
        <w:t xml:space="preserve">za </w:t>
      </w:r>
      <w:r w:rsidRPr="00E60565">
        <w:rPr>
          <w:sz w:val="22"/>
        </w:rPr>
        <w:t xml:space="preserve">regulaci draze platí. </w:t>
      </w:r>
    </w:p>
    <w:p w:rsidR="00D413AD" w:rsidRDefault="00F331F3" w:rsidP="00F331F3">
      <w:pPr>
        <w:spacing w:after="120"/>
        <w:jc w:val="both"/>
        <w:rPr>
          <w:sz w:val="22"/>
        </w:rPr>
      </w:pPr>
      <w:r>
        <w:rPr>
          <w:sz w:val="22"/>
        </w:rPr>
        <w:t>I</w:t>
      </w:r>
      <w:r w:rsidRPr="00E60565">
        <w:rPr>
          <w:sz w:val="22"/>
        </w:rPr>
        <w:t xml:space="preserve">nformace </w:t>
      </w:r>
      <w:r>
        <w:rPr>
          <w:sz w:val="22"/>
        </w:rPr>
        <w:t xml:space="preserve">SČS </w:t>
      </w:r>
      <w:r w:rsidRPr="00E60565">
        <w:rPr>
          <w:sz w:val="22"/>
        </w:rPr>
        <w:t xml:space="preserve">ukazují, že zkušenosti ze zemí, kde k regulaci </w:t>
      </w:r>
      <w:r w:rsidR="004458C4">
        <w:rPr>
          <w:sz w:val="22"/>
        </w:rPr>
        <w:t xml:space="preserve">mezibankovních poplatků </w:t>
      </w:r>
      <w:r w:rsidRPr="00E60565">
        <w:rPr>
          <w:sz w:val="22"/>
        </w:rPr>
        <w:t xml:space="preserve">na národní úrovni došlo, nepřinesly spotřebiteli nic pozitivního: </w:t>
      </w:r>
    </w:p>
    <w:p w:rsidR="00D413AD" w:rsidRDefault="00F331F3" w:rsidP="00D413AD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E60565">
        <w:rPr>
          <w:sz w:val="22"/>
        </w:rPr>
        <w:t>Obcho</w:t>
      </w:r>
      <w:r>
        <w:rPr>
          <w:sz w:val="22"/>
        </w:rPr>
        <w:t>d</w:t>
      </w:r>
      <w:r w:rsidR="004617D1">
        <w:rPr>
          <w:sz w:val="22"/>
        </w:rPr>
        <w:t>níci</w:t>
      </w:r>
      <w:r>
        <w:rPr>
          <w:sz w:val="22"/>
        </w:rPr>
        <w:t xml:space="preserve"> ušetřil</w:t>
      </w:r>
      <w:r w:rsidR="004617D1">
        <w:rPr>
          <w:sz w:val="22"/>
        </w:rPr>
        <w:t>i</w:t>
      </w:r>
      <w:r>
        <w:rPr>
          <w:sz w:val="22"/>
        </w:rPr>
        <w:t xml:space="preserve"> na poplatcích, spotřebitel</w:t>
      </w:r>
      <w:r w:rsidR="004617D1">
        <w:rPr>
          <w:sz w:val="22"/>
        </w:rPr>
        <w:t>ům</w:t>
      </w:r>
      <w:r>
        <w:rPr>
          <w:sz w:val="22"/>
        </w:rPr>
        <w:t xml:space="preserve"> ale nic navíc nedal</w:t>
      </w:r>
      <w:r w:rsidR="004617D1">
        <w:rPr>
          <w:sz w:val="22"/>
        </w:rPr>
        <w:t>i</w:t>
      </w:r>
      <w:r>
        <w:rPr>
          <w:sz w:val="22"/>
        </w:rPr>
        <w:t xml:space="preserve"> </w:t>
      </w:r>
      <w:r w:rsidRPr="00E60565">
        <w:rPr>
          <w:sz w:val="22"/>
        </w:rPr>
        <w:t>a o ušetřené náklady si zvýšil</w:t>
      </w:r>
      <w:r w:rsidR="004617D1">
        <w:rPr>
          <w:sz w:val="22"/>
        </w:rPr>
        <w:t>i</w:t>
      </w:r>
      <w:r w:rsidRPr="00E60565">
        <w:rPr>
          <w:sz w:val="22"/>
        </w:rPr>
        <w:t xml:space="preserve"> svůj profit. </w:t>
      </w:r>
    </w:p>
    <w:p w:rsidR="00F331F3" w:rsidRDefault="00F331F3" w:rsidP="00D413AD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E60565">
        <w:rPr>
          <w:sz w:val="22"/>
        </w:rPr>
        <w:t xml:space="preserve">Bankovní domy si pak </w:t>
      </w:r>
      <w:r>
        <w:rPr>
          <w:sz w:val="22"/>
        </w:rPr>
        <w:t>„ztrátu“ z krácených poplatků</w:t>
      </w:r>
      <w:r w:rsidRPr="00E60565">
        <w:rPr>
          <w:sz w:val="22"/>
        </w:rPr>
        <w:t xml:space="preserve"> vybraly </w:t>
      </w:r>
      <w:r>
        <w:rPr>
          <w:sz w:val="22"/>
        </w:rPr>
        <w:t xml:space="preserve">bohatě </w:t>
      </w:r>
      <w:r w:rsidRPr="00E60565">
        <w:rPr>
          <w:sz w:val="22"/>
        </w:rPr>
        <w:t xml:space="preserve">na spotřebiteli ve formě vyšších poplatků souvisejících s pořízením či používáním karty. </w:t>
      </w:r>
      <w:r>
        <w:rPr>
          <w:sz w:val="22"/>
        </w:rPr>
        <w:t>Že v tomto směru naše bankovní domy „umí“, se asi nemusíme přesvědčovat.</w:t>
      </w:r>
    </w:p>
    <w:p w:rsidR="00E946BC" w:rsidRDefault="00D413AD" w:rsidP="00F331F3">
      <w:pPr>
        <w:spacing w:after="120"/>
        <w:jc w:val="both"/>
        <w:rPr>
          <w:sz w:val="22"/>
        </w:rPr>
      </w:pPr>
      <w:r>
        <w:rPr>
          <w:sz w:val="22"/>
        </w:rPr>
        <w:t>M</w:t>
      </w:r>
      <w:r w:rsidR="00E946BC">
        <w:rPr>
          <w:sz w:val="22"/>
        </w:rPr>
        <w:t>noho spotřebitelských organizací se nechalo přesvědčit, že předmětná regulace je ve prospěch spotřebitele a veřejně kroky Komise podpořily. Bohužel, deklarovaný prospěch pro spotřebitele je navrženou regulací hned na počátku zpochybněn. Předpis má totiž, samozřejmě zcela nehlášeně a „skrytě“</w:t>
      </w:r>
      <w:r w:rsidR="004458C4">
        <w:rPr>
          <w:sz w:val="22"/>
        </w:rPr>
        <w:t>,</w:t>
      </w:r>
      <w:r w:rsidR="00E946BC">
        <w:rPr>
          <w:sz w:val="22"/>
        </w:rPr>
        <w:t xml:space="preserve"> umožnit zcela nově </w:t>
      </w:r>
      <w:r w:rsidR="004458C4">
        <w:rPr>
          <w:sz w:val="22"/>
        </w:rPr>
        <w:t>následující:</w:t>
      </w:r>
    </w:p>
    <w:p w:rsidR="00E946BC" w:rsidRDefault="00E946BC" w:rsidP="00E946BC">
      <w:pPr>
        <w:spacing w:after="120"/>
        <w:jc w:val="both"/>
        <w:rPr>
          <w:sz w:val="22"/>
        </w:rPr>
      </w:pPr>
      <w:r>
        <w:rPr>
          <w:sz w:val="22"/>
        </w:rPr>
        <w:t>Dosud</w:t>
      </w:r>
      <w:r w:rsidRPr="00F331F3">
        <w:rPr>
          <w:sz w:val="22"/>
        </w:rPr>
        <w:t xml:space="preserve"> měl obchodník zakázáno, aby si vybíral, které karty </w:t>
      </w:r>
      <w:r>
        <w:rPr>
          <w:sz w:val="22"/>
        </w:rPr>
        <w:t>přijímá</w:t>
      </w:r>
      <w:r w:rsidRPr="00F331F3">
        <w:rPr>
          <w:sz w:val="22"/>
        </w:rPr>
        <w:t xml:space="preserve"> </w:t>
      </w:r>
      <w:r>
        <w:rPr>
          <w:sz w:val="22"/>
        </w:rPr>
        <w:t xml:space="preserve">– tj. </w:t>
      </w:r>
      <w:r w:rsidRPr="00F331F3">
        <w:rPr>
          <w:sz w:val="22"/>
        </w:rPr>
        <w:t>mus</w:t>
      </w:r>
      <w:r>
        <w:rPr>
          <w:sz w:val="22"/>
        </w:rPr>
        <w:t>í akceptovat</w:t>
      </w:r>
      <w:r w:rsidRPr="00F331F3">
        <w:rPr>
          <w:sz w:val="22"/>
        </w:rPr>
        <w:t xml:space="preserve"> všechny, bez ohledu na to, jak se u nich liší </w:t>
      </w:r>
      <w:r>
        <w:rPr>
          <w:sz w:val="22"/>
        </w:rPr>
        <w:t xml:space="preserve">mezibankovní poplatek. Nové nařízení mu takový výběr umožňuje: sám se rozhodne, že bude např. brát </w:t>
      </w:r>
      <w:r w:rsidR="004458C4">
        <w:rPr>
          <w:sz w:val="22"/>
        </w:rPr>
        <w:t xml:space="preserve">od </w:t>
      </w:r>
      <w:r w:rsidR="004617D1">
        <w:rPr>
          <w:sz w:val="22"/>
        </w:rPr>
        <w:t xml:space="preserve">MasterCard </w:t>
      </w:r>
      <w:r w:rsidR="004458C4">
        <w:rPr>
          <w:sz w:val="22"/>
        </w:rPr>
        <w:t xml:space="preserve">či </w:t>
      </w:r>
      <w:r w:rsidR="004617D1">
        <w:rPr>
          <w:sz w:val="22"/>
        </w:rPr>
        <w:t xml:space="preserve">Visa </w:t>
      </w:r>
      <w:r>
        <w:rPr>
          <w:sz w:val="22"/>
        </w:rPr>
        <w:t xml:space="preserve">jen bezkontaktní karty, které mají nejnižší mezibankovní poplatek. Služební karty bývají dražší, možná jimi všude nezaplatíme. Podobně prémiovými kartami, které nám dosud umožňovaly </w:t>
      </w:r>
      <w:r w:rsidR="004458C4">
        <w:rPr>
          <w:sz w:val="22"/>
        </w:rPr>
        <w:t>extra služby. Zhoršit se může výše ručení banky při zneužití karty atd.</w:t>
      </w:r>
    </w:p>
    <w:p w:rsidR="004458C4" w:rsidRDefault="004458C4" w:rsidP="00E946BC">
      <w:pPr>
        <w:spacing w:after="120"/>
        <w:jc w:val="both"/>
        <w:rPr>
          <w:sz w:val="22"/>
        </w:rPr>
      </w:pPr>
      <w:r>
        <w:rPr>
          <w:sz w:val="22"/>
        </w:rPr>
        <w:t>Shrnuto</w:t>
      </w:r>
      <w:r w:rsidR="004617D1">
        <w:rPr>
          <w:sz w:val="22"/>
        </w:rPr>
        <w:t>:</w:t>
      </w:r>
      <w:r>
        <w:rPr>
          <w:sz w:val="22"/>
        </w:rPr>
        <w:t xml:space="preserve"> Jistota spotřebitele se navrženou regulací zhorší. Před nákupem si bude muset hlídat, zda svojí kartou zaplatí; anebo jich budeme nosit celý balíček. Alespoň jednu kartu snad prodejce akceptuje. </w:t>
      </w:r>
    </w:p>
    <w:p w:rsidR="005E6EA9" w:rsidRDefault="005E6EA9" w:rsidP="00E946BC">
      <w:pPr>
        <w:spacing w:after="120"/>
        <w:jc w:val="both"/>
        <w:rPr>
          <w:sz w:val="22"/>
        </w:rPr>
      </w:pPr>
    </w:p>
    <w:p w:rsidR="005E6EA9" w:rsidRDefault="005E6EA9" w:rsidP="00E946BC">
      <w:pPr>
        <w:spacing w:after="120"/>
        <w:jc w:val="both"/>
        <w:rPr>
          <w:sz w:val="22"/>
        </w:rPr>
      </w:pPr>
    </w:p>
    <w:p w:rsidR="00F331F3" w:rsidRPr="009759C5" w:rsidRDefault="00F331F3" w:rsidP="00F331F3">
      <w:pPr>
        <w:spacing w:after="120"/>
        <w:jc w:val="both"/>
        <w:rPr>
          <w:rFonts w:ascii="Tahoma" w:hAnsi="Tahoma" w:cs="Tahoma"/>
          <w:sz w:val="16"/>
          <w:szCs w:val="22"/>
        </w:rPr>
      </w:pPr>
      <w:r w:rsidRPr="009759C5">
        <w:rPr>
          <w:rFonts w:ascii="Tahoma" w:hAnsi="Tahoma" w:cs="Tahoma"/>
          <w:sz w:val="16"/>
          <w:szCs w:val="22"/>
        </w:rPr>
        <w:lastRenderedPageBreak/>
        <w:t>Další informace poskytne:</w:t>
      </w:r>
    </w:p>
    <w:tbl>
      <w:tblPr>
        <w:tblW w:w="9180" w:type="dxa"/>
        <w:tblLook w:val="01E0"/>
      </w:tblPr>
      <w:tblGrid>
        <w:gridCol w:w="2268"/>
        <w:gridCol w:w="6912"/>
      </w:tblGrid>
      <w:tr w:rsidR="00F331F3" w:rsidTr="00F331F3">
        <w:tc>
          <w:tcPr>
            <w:tcW w:w="2268" w:type="dxa"/>
          </w:tcPr>
          <w:p w:rsidR="00F331F3" w:rsidRDefault="00F331F3" w:rsidP="009A2298">
            <w:pPr>
              <w:pStyle w:val="Normlnweb"/>
              <w:spacing w:before="0" w:beforeAutospacing="0" w:after="0" w:afterAutospacing="0"/>
              <w:ind w:right="-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Ing. Libor Dupal, </w:t>
            </w:r>
          </w:p>
          <w:p w:rsidR="00F331F3" w:rsidRDefault="00F331F3" w:rsidP="009A2298">
            <w:pPr>
              <w:pStyle w:val="Normlnweb"/>
              <w:spacing w:before="0" w:beforeAutospacing="0" w:after="0" w:afterAutospacing="0"/>
              <w:ind w:right="-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předseda SČS</w:t>
            </w:r>
          </w:p>
          <w:p w:rsidR="00F331F3" w:rsidRPr="005F494D" w:rsidRDefault="00F331F3" w:rsidP="009A2298">
            <w:pPr>
              <w:pStyle w:val="Normlnweb"/>
              <w:spacing w:before="0" w:beforeAutospacing="0" w:after="0" w:afterAutospacing="0"/>
              <w:ind w:right="-426"/>
              <w:rPr>
                <w:rFonts w:ascii="Verdana" w:hAnsi="Verdana"/>
                <w:sz w:val="16"/>
              </w:rPr>
            </w:pPr>
            <w:r w:rsidRPr="005F494D">
              <w:rPr>
                <w:rFonts w:ascii="Verdana" w:hAnsi="Verdana"/>
                <w:sz w:val="16"/>
              </w:rPr>
              <w:t>tel.: +420 261263574</w:t>
            </w:r>
          </w:p>
          <w:p w:rsidR="00F331F3" w:rsidRPr="005F494D" w:rsidRDefault="00F331F3" w:rsidP="009A2298">
            <w:pPr>
              <w:pStyle w:val="Normlnweb"/>
              <w:spacing w:before="0" w:beforeAutospacing="0" w:after="0" w:afterAutospacing="0"/>
              <w:ind w:right="-4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mobil: +420 602561856 </w:t>
            </w:r>
          </w:p>
          <w:p w:rsidR="00F331F3" w:rsidRPr="005F494D" w:rsidRDefault="00F331F3" w:rsidP="009A2298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e-mail: </w:t>
            </w:r>
            <w:hyperlink r:id="rId8" w:history="1">
              <w:r w:rsidRPr="005F494D">
                <w:rPr>
                  <w:rFonts w:ascii="Verdana" w:hAnsi="Verdana"/>
                  <w:sz w:val="16"/>
                </w:rPr>
                <w:t>dupal@regio.cz</w:t>
              </w:r>
            </w:hyperlink>
            <w:r w:rsidRPr="005F494D">
              <w:rPr>
                <w:rFonts w:ascii="Verdana" w:hAnsi="Verdana"/>
                <w:sz w:val="16"/>
              </w:rPr>
              <w:t xml:space="preserve"> </w:t>
            </w:r>
          </w:p>
          <w:p w:rsidR="00F331F3" w:rsidRDefault="00F331F3" w:rsidP="009A2298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6"/>
              </w:rPr>
            </w:pPr>
            <w:hyperlink r:id="rId9" w:history="1">
              <w:r w:rsidRPr="005F494D">
                <w:rPr>
                  <w:rFonts w:ascii="Verdana" w:hAnsi="Verdana"/>
                  <w:sz w:val="16"/>
                </w:rPr>
                <w:t>www.konzument.cz</w:t>
              </w:r>
            </w:hyperlink>
            <w:r w:rsidRPr="005F494D">
              <w:rPr>
                <w:rFonts w:ascii="Verdana" w:hAnsi="Verdana"/>
                <w:sz w:val="16"/>
              </w:rPr>
              <w:t xml:space="preserve">; </w:t>
            </w:r>
          </w:p>
          <w:p w:rsidR="00F331F3" w:rsidRPr="008C5014" w:rsidRDefault="00F331F3" w:rsidP="009A2298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6"/>
              </w:rPr>
            </w:pPr>
          </w:p>
        </w:tc>
        <w:tc>
          <w:tcPr>
            <w:tcW w:w="6912" w:type="dxa"/>
          </w:tcPr>
          <w:p w:rsidR="00F331F3" w:rsidRDefault="00F331F3" w:rsidP="009A22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Sdružení českých spotřebitelů (SČS)</w:t>
            </w:r>
            <w:r>
              <w:rPr>
                <w:sz w:val="18"/>
                <w:szCs w:val="18"/>
              </w:rPr>
      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 bezpečnosti a kvalitě výrobků a služeb, normalizaci, finančním službám aj. </w:t>
            </w:r>
            <w:r w:rsidRPr="008C5014">
              <w:rPr>
                <w:sz w:val="18"/>
                <w:szCs w:val="18"/>
              </w:rPr>
              <w:t xml:space="preserve">Ve více regionech, kde má zastoupení prostřednictvím regionálních kontaktních míst, vyhlašuje soutěž Spokojený zákazník kraje, kterou zaštiťují a předávají hejtmané. Touto cenou se SČS snaží přispívat k „pozitivnímu přístupu“ při vytváření lepších vztahů mezi spotřebiteli a poskytovateli služeb. </w:t>
            </w:r>
          </w:p>
        </w:tc>
      </w:tr>
    </w:tbl>
    <w:p w:rsidR="00F331F3" w:rsidRDefault="00F331F3" w:rsidP="00F331F3">
      <w:pPr>
        <w:spacing w:after="120"/>
        <w:jc w:val="both"/>
        <w:rPr>
          <w:sz w:val="22"/>
        </w:rPr>
      </w:pPr>
    </w:p>
    <w:p w:rsidR="007C0E24" w:rsidRPr="005C4D59" w:rsidRDefault="007C0E24" w:rsidP="00F331F3">
      <w:pPr>
        <w:spacing w:after="120"/>
        <w:jc w:val="both"/>
        <w:rPr>
          <w:sz w:val="22"/>
        </w:rPr>
      </w:pPr>
    </w:p>
    <w:sectPr w:rsidR="007C0E24" w:rsidRPr="005C4D59" w:rsidSect="007D0D51">
      <w:headerReference w:type="default" r:id="rId10"/>
      <w:footerReference w:type="default" r:id="rId11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85" w:rsidRDefault="00B62185">
      <w:r>
        <w:separator/>
      </w:r>
    </w:p>
  </w:endnote>
  <w:endnote w:type="continuationSeparator" w:id="0">
    <w:p w:rsidR="00B62185" w:rsidRDefault="00B6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64" w:rsidRDefault="005E6EA9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1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hlavickovy-papir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85" w:rsidRDefault="00B62185">
      <w:r>
        <w:separator/>
      </w:r>
    </w:p>
  </w:footnote>
  <w:footnote w:type="continuationSeparator" w:id="0">
    <w:p w:rsidR="00B62185" w:rsidRDefault="00B62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4A" w:rsidRPr="008B194A" w:rsidRDefault="005E6EA9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2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ovy-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D2D"/>
    <w:multiLevelType w:val="hybridMultilevel"/>
    <w:tmpl w:val="08E83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C3A95"/>
    <w:rsid w:val="000F054E"/>
    <w:rsid w:val="001F79A2"/>
    <w:rsid w:val="00262E00"/>
    <w:rsid w:val="002F0906"/>
    <w:rsid w:val="00375D17"/>
    <w:rsid w:val="003D074B"/>
    <w:rsid w:val="004164EF"/>
    <w:rsid w:val="004458C4"/>
    <w:rsid w:val="004617D1"/>
    <w:rsid w:val="004D59FA"/>
    <w:rsid w:val="004E4964"/>
    <w:rsid w:val="005C4D59"/>
    <w:rsid w:val="005E6EA9"/>
    <w:rsid w:val="006D7004"/>
    <w:rsid w:val="007256ED"/>
    <w:rsid w:val="007C0E24"/>
    <w:rsid w:val="007D0D51"/>
    <w:rsid w:val="00822518"/>
    <w:rsid w:val="008B194A"/>
    <w:rsid w:val="00947FE7"/>
    <w:rsid w:val="0097034C"/>
    <w:rsid w:val="009A2298"/>
    <w:rsid w:val="00A04596"/>
    <w:rsid w:val="00A36BBB"/>
    <w:rsid w:val="00AE5DB9"/>
    <w:rsid w:val="00B51FD5"/>
    <w:rsid w:val="00B62185"/>
    <w:rsid w:val="00C2672A"/>
    <w:rsid w:val="00D413AD"/>
    <w:rsid w:val="00D92DA0"/>
    <w:rsid w:val="00E24434"/>
    <w:rsid w:val="00E946BC"/>
    <w:rsid w:val="00F331F3"/>
    <w:rsid w:val="00F9417C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F331F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E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E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E6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al@regi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zument.cz/novinky/novinka/2/393/evropska-regulace-kartovych-poplatku.php?action=show_arch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3868</CharactersWithSpaces>
  <SharedDoc>false</SharedDoc>
  <HLinks>
    <vt:vector size="12" baseType="variant"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>http://www.konzument.cz/</vt:lpwstr>
      </vt:variant>
      <vt:variant>
        <vt:lpwstr/>
      </vt:variant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mailto:dupal@regio.cz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Vasek</cp:lastModifiedBy>
  <cp:revision>2</cp:revision>
  <cp:lastPrinted>2013-07-24T13:11:00Z</cp:lastPrinted>
  <dcterms:created xsi:type="dcterms:W3CDTF">2013-07-25T12:13:00Z</dcterms:created>
  <dcterms:modified xsi:type="dcterms:W3CDTF">2013-07-25T12:13:00Z</dcterms:modified>
</cp:coreProperties>
</file>